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A" w:rsidRPr="0002392A" w:rsidRDefault="0016773A" w:rsidP="0016773A">
      <w:pPr>
        <w:tabs>
          <w:tab w:val="left" w:pos="3225"/>
        </w:tabs>
        <w:jc w:val="center"/>
        <w:rPr>
          <w:b/>
          <w:i/>
          <w:sz w:val="28"/>
          <w:szCs w:val="28"/>
        </w:rPr>
      </w:pPr>
      <w:r w:rsidRPr="0002392A">
        <w:rPr>
          <w:b/>
          <w:i/>
          <w:sz w:val="28"/>
          <w:szCs w:val="28"/>
        </w:rPr>
        <w:t>Лесозаготовительная промышленность</w:t>
      </w:r>
    </w:p>
    <w:p w:rsidR="0016773A" w:rsidRPr="00C065AE" w:rsidRDefault="0016773A" w:rsidP="0016773A">
      <w:pPr>
        <w:tabs>
          <w:tab w:val="left" w:pos="3225"/>
        </w:tabs>
        <w:jc w:val="both"/>
        <w:rPr>
          <w:color w:val="FF0000"/>
          <w:sz w:val="28"/>
          <w:szCs w:val="28"/>
        </w:rPr>
      </w:pPr>
    </w:p>
    <w:p w:rsidR="0016773A" w:rsidRPr="00424680" w:rsidRDefault="0016773A" w:rsidP="0016773A">
      <w:pPr>
        <w:pStyle w:val="a3"/>
        <w:ind w:firstLine="709"/>
        <w:jc w:val="both"/>
        <w:rPr>
          <w:szCs w:val="24"/>
        </w:rPr>
      </w:pPr>
      <w:r w:rsidRPr="00424680">
        <w:rPr>
          <w:szCs w:val="24"/>
        </w:rPr>
        <w:t>Основу экономики района представляет лесная и деревообрабатывающая промышленность. Основные лесозаготовительные предприятия на территории района ООО «</w:t>
      </w:r>
      <w:proofErr w:type="spellStart"/>
      <w:r w:rsidRPr="00424680">
        <w:rPr>
          <w:szCs w:val="24"/>
        </w:rPr>
        <w:t>ЧичкаюльскийЛПХ</w:t>
      </w:r>
      <w:proofErr w:type="spellEnd"/>
      <w:r w:rsidRPr="00424680">
        <w:rPr>
          <w:szCs w:val="24"/>
        </w:rPr>
        <w:t>», ООО «</w:t>
      </w:r>
      <w:proofErr w:type="spellStart"/>
      <w:r w:rsidRPr="00424680">
        <w:rPr>
          <w:szCs w:val="24"/>
        </w:rPr>
        <w:t>Чулымлес</w:t>
      </w:r>
      <w:proofErr w:type="spellEnd"/>
      <w:r w:rsidRPr="00424680">
        <w:rPr>
          <w:szCs w:val="24"/>
        </w:rPr>
        <w:t>».</w:t>
      </w:r>
    </w:p>
    <w:p w:rsidR="0016773A" w:rsidRPr="00424680" w:rsidRDefault="0016773A" w:rsidP="0016773A">
      <w:pPr>
        <w:ind w:firstLine="709"/>
        <w:jc w:val="both"/>
        <w:rPr>
          <w:sz w:val="24"/>
          <w:szCs w:val="24"/>
        </w:rPr>
      </w:pPr>
      <w:r w:rsidRPr="00424680">
        <w:rPr>
          <w:sz w:val="24"/>
          <w:szCs w:val="24"/>
        </w:rPr>
        <w:t xml:space="preserve">Лесозаготовительные предприятия занимаются заготовкой, вывозкой и разделкой древесины на нижних складах. Лесопромышленный комплекс района, кроме крупных лесозаготовительных предприятий, представлен значительным количеством мелких </w:t>
      </w:r>
      <w:proofErr w:type="spellStart"/>
      <w:r w:rsidRPr="00424680">
        <w:rPr>
          <w:sz w:val="24"/>
          <w:szCs w:val="24"/>
        </w:rPr>
        <w:t>пилорам</w:t>
      </w:r>
      <w:proofErr w:type="gramStart"/>
      <w:r w:rsidRPr="00424680">
        <w:rPr>
          <w:sz w:val="24"/>
          <w:szCs w:val="24"/>
        </w:rPr>
        <w:t>.Р</w:t>
      </w:r>
      <w:proofErr w:type="gramEnd"/>
      <w:r w:rsidRPr="00424680">
        <w:rPr>
          <w:sz w:val="24"/>
          <w:szCs w:val="24"/>
        </w:rPr>
        <w:t>азвитие</w:t>
      </w:r>
      <w:proofErr w:type="spellEnd"/>
      <w:r w:rsidRPr="00424680">
        <w:rPr>
          <w:sz w:val="24"/>
          <w:szCs w:val="24"/>
        </w:rPr>
        <w:t xml:space="preserve"> лесной отрасли района основывается на значительной лесосырьевой базе для проведения лесозаготовок, расчётная лесосека района – 2 млн. куб. м.</w:t>
      </w: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813"/>
        <w:gridCol w:w="815"/>
        <w:gridCol w:w="716"/>
        <w:gridCol w:w="817"/>
        <w:gridCol w:w="895"/>
      </w:tblGrid>
      <w:tr w:rsidR="0016773A" w:rsidRPr="00C065AE" w:rsidTr="004575A0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i/>
                <w:sz w:val="22"/>
                <w:szCs w:val="22"/>
              </w:rPr>
            </w:pPr>
            <w:r w:rsidRPr="00C1510B">
              <w:rPr>
                <w:b/>
                <w:i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i/>
                <w:sz w:val="22"/>
                <w:szCs w:val="22"/>
              </w:rPr>
            </w:pPr>
            <w:r w:rsidRPr="00C1510B">
              <w:rPr>
                <w:b/>
                <w:i/>
                <w:sz w:val="22"/>
                <w:szCs w:val="22"/>
              </w:rPr>
              <w:t>Трелевка</w:t>
            </w:r>
          </w:p>
          <w:p w:rsidR="0016773A" w:rsidRPr="00C1510B" w:rsidRDefault="0016773A" w:rsidP="004575A0">
            <w:pPr>
              <w:jc w:val="center"/>
              <w:rPr>
                <w:b/>
                <w:i/>
                <w:sz w:val="22"/>
                <w:szCs w:val="22"/>
              </w:rPr>
            </w:pPr>
            <w:r w:rsidRPr="00C1510B">
              <w:rPr>
                <w:b/>
                <w:i/>
                <w:sz w:val="22"/>
                <w:szCs w:val="22"/>
              </w:rPr>
              <w:t>Древесины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b/>
                <w:i/>
                <w:sz w:val="22"/>
                <w:szCs w:val="22"/>
              </w:rPr>
            </w:pPr>
            <w:r w:rsidRPr="00CC5FBE">
              <w:rPr>
                <w:b/>
                <w:i/>
                <w:sz w:val="22"/>
                <w:szCs w:val="22"/>
              </w:rPr>
              <w:t>Вывозка древесины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E11B83" w:rsidRDefault="0016773A" w:rsidP="004575A0">
            <w:pPr>
              <w:jc w:val="center"/>
              <w:rPr>
                <w:b/>
                <w:i/>
                <w:sz w:val="22"/>
                <w:szCs w:val="22"/>
              </w:rPr>
            </w:pPr>
            <w:r w:rsidRPr="00E11B83">
              <w:rPr>
                <w:b/>
                <w:i/>
                <w:sz w:val="22"/>
                <w:szCs w:val="22"/>
              </w:rPr>
              <w:t>Производство пиломатериалов</w:t>
            </w:r>
          </w:p>
        </w:tc>
      </w:tr>
      <w:tr w:rsidR="0016773A" w:rsidRPr="00C065AE" w:rsidTr="004575A0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rPr>
                <w:b/>
              </w:rPr>
            </w:pPr>
            <w:r w:rsidRPr="00CC5FBE">
              <w:rPr>
                <w:b/>
              </w:rPr>
              <w:t>2012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rPr>
                <w:b/>
              </w:rPr>
            </w:pPr>
            <w:r w:rsidRPr="00CC5FBE">
              <w:rPr>
                <w:b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Темп роста,%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E11B83" w:rsidRDefault="0016773A" w:rsidP="004575A0">
            <w:pPr>
              <w:rPr>
                <w:b/>
              </w:rPr>
            </w:pPr>
            <w:r w:rsidRPr="00E11B83">
              <w:rPr>
                <w:b/>
              </w:rPr>
              <w:t>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E11B83" w:rsidRDefault="0016773A" w:rsidP="004575A0">
            <w:pPr>
              <w:rPr>
                <w:b/>
              </w:rPr>
            </w:pPr>
            <w:r w:rsidRPr="00E11B83">
              <w:rPr>
                <w:b/>
              </w:rPr>
              <w:t>2013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E11B83" w:rsidRDefault="0016773A" w:rsidP="004575A0">
            <w:pPr>
              <w:jc w:val="center"/>
              <w:rPr>
                <w:sz w:val="22"/>
                <w:szCs w:val="22"/>
              </w:rPr>
            </w:pPr>
            <w:r w:rsidRPr="00E11B83">
              <w:rPr>
                <w:sz w:val="22"/>
                <w:szCs w:val="22"/>
              </w:rPr>
              <w:t>Темп роста,%</w:t>
            </w:r>
          </w:p>
        </w:tc>
      </w:tr>
      <w:tr w:rsidR="0016773A" w:rsidRPr="00C065AE" w:rsidTr="004575A0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ОАО «</w:t>
            </w:r>
            <w:proofErr w:type="spellStart"/>
            <w:r w:rsidRPr="00C1510B">
              <w:rPr>
                <w:sz w:val="22"/>
                <w:szCs w:val="22"/>
              </w:rPr>
              <w:t>Леспром</w:t>
            </w:r>
            <w:proofErr w:type="spellEnd"/>
            <w:r w:rsidRPr="00C1510B">
              <w:rPr>
                <w:sz w:val="22"/>
                <w:szCs w:val="22"/>
              </w:rPr>
              <w:t>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proofErr w:type="spellStart"/>
            <w:r w:rsidRPr="00C1510B">
              <w:rPr>
                <w:sz w:val="22"/>
                <w:szCs w:val="22"/>
              </w:rPr>
              <w:t>Чулымлес</w:t>
            </w:r>
            <w:proofErr w:type="spellEnd"/>
            <w:r w:rsidRPr="00C1510B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30,8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37,1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120,5</w:t>
            </w: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proofErr w:type="spellStart"/>
            <w:r w:rsidRPr="00C1510B">
              <w:rPr>
                <w:sz w:val="22"/>
                <w:szCs w:val="22"/>
              </w:rPr>
              <w:t>Чичкаюльский</w:t>
            </w:r>
            <w:proofErr w:type="spellEnd"/>
            <w:r w:rsidRPr="00C1510B">
              <w:rPr>
                <w:sz w:val="22"/>
                <w:szCs w:val="22"/>
              </w:rPr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424,6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418,5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281,5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  <w:r w:rsidRPr="00424680">
              <w:rPr>
                <w:sz w:val="22"/>
                <w:szCs w:val="22"/>
              </w:rPr>
              <w:t>67,3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 xml:space="preserve">Итого </w:t>
            </w:r>
            <w:proofErr w:type="gramStart"/>
            <w:r w:rsidRPr="00C1510B">
              <w:rPr>
                <w:b/>
                <w:sz w:val="22"/>
                <w:szCs w:val="22"/>
              </w:rPr>
              <w:t>по</w:t>
            </w:r>
            <w:proofErr w:type="gramEnd"/>
            <w:r w:rsidRPr="00C1510B">
              <w:rPr>
                <w:b/>
                <w:sz w:val="22"/>
                <w:szCs w:val="22"/>
              </w:rPr>
              <w:t xml:space="preserve"> крупным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462,6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272,5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58,9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456,5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281,5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424680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424680">
              <w:rPr>
                <w:b/>
                <w:sz w:val="22"/>
                <w:szCs w:val="22"/>
              </w:rPr>
              <w:t>61,7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35,7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37,1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103,9</w:t>
            </w: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 xml:space="preserve">Малый бизнес, в </w:t>
            </w:r>
            <w:proofErr w:type="spellStart"/>
            <w:r w:rsidRPr="00C1510B">
              <w:rPr>
                <w:b/>
                <w:sz w:val="22"/>
                <w:szCs w:val="22"/>
              </w:rPr>
              <w:t>т</w:t>
            </w:r>
            <w:proofErr w:type="gramStart"/>
            <w:r w:rsidRPr="00C1510B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C1510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317,8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301,7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94,9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322,5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237,8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73,7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41,8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74,4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A22AA2" w:rsidRDefault="0016773A" w:rsidP="004575A0">
            <w:pPr>
              <w:jc w:val="center"/>
              <w:rPr>
                <w:sz w:val="22"/>
                <w:szCs w:val="22"/>
              </w:rPr>
            </w:pPr>
            <w:r w:rsidRPr="00A22AA2">
              <w:rPr>
                <w:sz w:val="22"/>
                <w:szCs w:val="22"/>
              </w:rPr>
              <w:t>178,0</w:t>
            </w: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proofErr w:type="spellStart"/>
            <w:r w:rsidRPr="00C1510B">
              <w:rPr>
                <w:sz w:val="22"/>
                <w:szCs w:val="22"/>
              </w:rPr>
              <w:t>ФорестГолд</w:t>
            </w:r>
            <w:proofErr w:type="spellEnd"/>
            <w:r w:rsidRPr="00C1510B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2C0B95" w:rsidRDefault="0016773A" w:rsidP="004575A0">
            <w:pPr>
              <w:jc w:val="center"/>
              <w:rPr>
                <w:sz w:val="22"/>
                <w:szCs w:val="22"/>
              </w:rPr>
            </w:pPr>
            <w:r w:rsidRPr="002C0B95">
              <w:rPr>
                <w:sz w:val="22"/>
                <w:szCs w:val="22"/>
              </w:rPr>
              <w:t>18,5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28,5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154,1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25,4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137,3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proofErr w:type="spellStart"/>
            <w:r w:rsidRPr="00C1510B">
              <w:rPr>
                <w:sz w:val="22"/>
                <w:szCs w:val="22"/>
              </w:rPr>
              <w:t>Визант</w:t>
            </w:r>
            <w:proofErr w:type="spellEnd"/>
            <w:r w:rsidRPr="00C1510B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2C0B95" w:rsidRDefault="0016773A" w:rsidP="004575A0">
            <w:pPr>
              <w:jc w:val="center"/>
              <w:rPr>
                <w:sz w:val="22"/>
                <w:szCs w:val="22"/>
              </w:rPr>
            </w:pPr>
            <w:r w:rsidRPr="002C0B95">
              <w:rPr>
                <w:sz w:val="22"/>
                <w:szCs w:val="22"/>
              </w:rPr>
              <w:t>17,0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17,5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102,9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102,9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165,6</w:t>
            </w: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«Алабин Лес»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2C0B95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15,1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</w:t>
            </w:r>
            <w:proofErr w:type="gramStart"/>
            <w:r w:rsidRPr="00C1510B">
              <w:rPr>
                <w:sz w:val="22"/>
                <w:szCs w:val="22"/>
              </w:rPr>
              <w:t>Чуйский</w:t>
            </w:r>
            <w:proofErr w:type="gramEnd"/>
            <w:r w:rsidRPr="00C1510B">
              <w:rPr>
                <w:sz w:val="22"/>
                <w:szCs w:val="22"/>
              </w:rPr>
              <w:t xml:space="preserve"> ЛЗУ»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2C0B95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29,4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25,5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20,0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2C0B95" w:rsidRDefault="0016773A" w:rsidP="004575A0">
            <w:pPr>
              <w:jc w:val="center"/>
              <w:rPr>
                <w:sz w:val="22"/>
                <w:szCs w:val="22"/>
              </w:rPr>
            </w:pPr>
            <w:r w:rsidRPr="002C0B95">
              <w:rPr>
                <w:sz w:val="22"/>
                <w:szCs w:val="22"/>
              </w:rPr>
              <w:t>16,7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65,9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68,8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ООО «РИК»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2C0B95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15,9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 xml:space="preserve">ИП </w:t>
            </w:r>
            <w:proofErr w:type="spellStart"/>
            <w:r w:rsidRPr="00C1510B">
              <w:rPr>
                <w:sz w:val="22"/>
                <w:szCs w:val="22"/>
              </w:rPr>
              <w:t>Киш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7,4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157,8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99,9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181,4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60,1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33,1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35,4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25,3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E11B83" w:rsidRDefault="0016773A" w:rsidP="004575A0">
            <w:pPr>
              <w:jc w:val="center"/>
              <w:rPr>
                <w:sz w:val="22"/>
                <w:szCs w:val="22"/>
              </w:rPr>
            </w:pPr>
            <w:r w:rsidRPr="00E11B83">
              <w:rPr>
                <w:sz w:val="22"/>
                <w:szCs w:val="22"/>
              </w:rPr>
              <w:t>71,5</w:t>
            </w: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10,2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188,9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5,4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10,2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188,9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84,2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834F1" w:rsidRDefault="0016773A" w:rsidP="004575A0">
            <w:pPr>
              <w:jc w:val="center"/>
              <w:rPr>
                <w:sz w:val="22"/>
                <w:szCs w:val="22"/>
              </w:rPr>
            </w:pPr>
            <w:r w:rsidRPr="00C834F1">
              <w:rPr>
                <w:sz w:val="22"/>
                <w:szCs w:val="22"/>
              </w:rPr>
              <w:t>62,5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74,2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7E1C22" w:rsidRDefault="0016773A" w:rsidP="004575A0">
            <w:pPr>
              <w:jc w:val="center"/>
              <w:rPr>
                <w:sz w:val="22"/>
                <w:szCs w:val="22"/>
              </w:rPr>
            </w:pPr>
            <w:r w:rsidRPr="007E1C22">
              <w:rPr>
                <w:sz w:val="22"/>
                <w:szCs w:val="22"/>
              </w:rPr>
              <w:t>84,2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1510B" w:rsidRDefault="0016773A" w:rsidP="004575A0">
            <w:pPr>
              <w:jc w:val="center"/>
              <w:rPr>
                <w:sz w:val="22"/>
                <w:szCs w:val="22"/>
              </w:rPr>
            </w:pPr>
            <w:r w:rsidRPr="00C1510B">
              <w:rPr>
                <w:sz w:val="22"/>
                <w:szCs w:val="22"/>
              </w:rPr>
              <w:t>49,0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C5FBE" w:rsidRDefault="0016773A" w:rsidP="004575A0">
            <w:pPr>
              <w:jc w:val="center"/>
              <w:rPr>
                <w:sz w:val="22"/>
                <w:szCs w:val="22"/>
              </w:rPr>
            </w:pPr>
            <w:r w:rsidRPr="00CC5FBE">
              <w:rPr>
                <w:sz w:val="22"/>
                <w:szCs w:val="22"/>
              </w:rPr>
              <w:t>58,2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A" w:rsidRPr="00C065AE" w:rsidRDefault="0016773A" w:rsidP="004575A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73A" w:rsidRPr="00C065AE" w:rsidTr="004575A0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780,4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834F1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834F1">
              <w:rPr>
                <w:b/>
                <w:sz w:val="22"/>
                <w:szCs w:val="22"/>
              </w:rPr>
              <w:t>574,2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1510B" w:rsidRDefault="0016773A" w:rsidP="004575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1510B">
              <w:rPr>
                <w:b/>
                <w:sz w:val="22"/>
                <w:szCs w:val="22"/>
              </w:rPr>
              <w:t>73,5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7E1C22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7E1C22">
              <w:rPr>
                <w:b/>
                <w:sz w:val="22"/>
                <w:szCs w:val="22"/>
              </w:rPr>
              <w:t>779,0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1510B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C5FBE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C5FBE">
              <w:rPr>
                <w:b/>
                <w:sz w:val="22"/>
                <w:szCs w:val="22"/>
              </w:rPr>
              <w:t>66,7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C5FBE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C5FBE">
              <w:rPr>
                <w:b/>
                <w:sz w:val="22"/>
                <w:szCs w:val="22"/>
              </w:rPr>
              <w:t>77,5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CC5FBE" w:rsidRDefault="0016773A" w:rsidP="004575A0">
            <w:pPr>
              <w:jc w:val="center"/>
              <w:rPr>
                <w:b/>
                <w:sz w:val="22"/>
                <w:szCs w:val="22"/>
              </w:rPr>
            </w:pPr>
            <w:r w:rsidRPr="00CC5FBE">
              <w:rPr>
                <w:b/>
                <w:sz w:val="22"/>
                <w:szCs w:val="22"/>
              </w:rPr>
              <w:t>111,5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16773A" w:rsidRPr="00E11B83" w:rsidRDefault="0016773A" w:rsidP="004575A0">
            <w:pPr>
              <w:jc w:val="center"/>
              <w:rPr>
                <w:b/>
                <w:i/>
                <w:sz w:val="22"/>
                <w:szCs w:val="22"/>
              </w:rPr>
            </w:pPr>
            <w:r w:rsidRPr="00E11B83">
              <w:rPr>
                <w:b/>
                <w:i/>
                <w:sz w:val="22"/>
                <w:szCs w:val="22"/>
              </w:rPr>
              <w:t>143,9</w:t>
            </w:r>
          </w:p>
        </w:tc>
      </w:tr>
    </w:tbl>
    <w:p w:rsidR="0016773A" w:rsidRPr="00C065AE" w:rsidRDefault="0016773A" w:rsidP="0016773A">
      <w:pPr>
        <w:ind w:firstLine="709"/>
        <w:jc w:val="both"/>
        <w:rPr>
          <w:color w:val="FF0000"/>
          <w:sz w:val="24"/>
          <w:szCs w:val="24"/>
        </w:rPr>
      </w:pPr>
    </w:p>
    <w:p w:rsidR="0016773A" w:rsidRPr="00804AF0" w:rsidRDefault="0016773A" w:rsidP="0016773A">
      <w:pPr>
        <w:ind w:firstLine="709"/>
        <w:jc w:val="both"/>
        <w:rPr>
          <w:sz w:val="24"/>
          <w:szCs w:val="24"/>
        </w:rPr>
      </w:pPr>
      <w:r w:rsidRPr="00804AF0">
        <w:rPr>
          <w:sz w:val="24"/>
          <w:szCs w:val="24"/>
        </w:rPr>
        <w:t xml:space="preserve">Предприятиями лесопромышленного комплекса за 2014 год заготовлено 574,2 </w:t>
      </w:r>
      <w:proofErr w:type="spellStart"/>
      <w:r w:rsidRPr="00804AF0">
        <w:rPr>
          <w:sz w:val="24"/>
          <w:szCs w:val="24"/>
        </w:rPr>
        <w:t>тыс</w:t>
      </w:r>
      <w:proofErr w:type="gramStart"/>
      <w:r w:rsidRPr="00804AF0">
        <w:rPr>
          <w:sz w:val="24"/>
          <w:szCs w:val="24"/>
        </w:rPr>
        <w:t>.к</w:t>
      </w:r>
      <w:proofErr w:type="gramEnd"/>
      <w:r w:rsidRPr="00804AF0">
        <w:rPr>
          <w:sz w:val="24"/>
          <w:szCs w:val="24"/>
        </w:rPr>
        <w:t>уб.м</w:t>
      </w:r>
      <w:proofErr w:type="spellEnd"/>
      <w:r w:rsidRPr="00804AF0">
        <w:rPr>
          <w:sz w:val="24"/>
          <w:szCs w:val="24"/>
        </w:rPr>
        <w:t>, что меньше уровня прошлого года на 26,5% (2012 год заготовлено 780,4м3). Наибольший объем заготовк</w:t>
      </w:r>
      <w:proofErr w:type="gramStart"/>
      <w:r w:rsidRPr="00804AF0">
        <w:rPr>
          <w:sz w:val="24"/>
          <w:szCs w:val="24"/>
        </w:rPr>
        <w:t>и у ООО</w:t>
      </w:r>
      <w:proofErr w:type="gramEnd"/>
      <w:r w:rsidRPr="00804AF0">
        <w:rPr>
          <w:sz w:val="24"/>
          <w:szCs w:val="24"/>
        </w:rPr>
        <w:t xml:space="preserve"> «</w:t>
      </w:r>
      <w:proofErr w:type="spellStart"/>
      <w:r w:rsidRPr="00804AF0">
        <w:rPr>
          <w:sz w:val="22"/>
          <w:szCs w:val="22"/>
        </w:rPr>
        <w:t>Чичкаюльский</w:t>
      </w:r>
      <w:r w:rsidRPr="00804AF0">
        <w:rPr>
          <w:sz w:val="24"/>
          <w:szCs w:val="24"/>
        </w:rPr>
        <w:t>ЛПХ</w:t>
      </w:r>
      <w:proofErr w:type="spellEnd"/>
      <w:r w:rsidRPr="00804AF0">
        <w:rPr>
          <w:sz w:val="24"/>
          <w:szCs w:val="24"/>
        </w:rPr>
        <w:t>» -47,5% от общего объема заготовленной древесины всех предприятий. Первомайский район является лидером по заготовки древесины среди районов области.</w:t>
      </w:r>
    </w:p>
    <w:p w:rsidR="0016773A" w:rsidRPr="00C065AE" w:rsidRDefault="0016773A" w:rsidP="0016773A">
      <w:pPr>
        <w:jc w:val="both"/>
        <w:rPr>
          <w:color w:val="FF0000"/>
          <w:sz w:val="24"/>
          <w:szCs w:val="24"/>
        </w:rPr>
      </w:pPr>
    </w:p>
    <w:p w:rsidR="0016773A" w:rsidRPr="00804AF0" w:rsidRDefault="0016773A" w:rsidP="0016773A">
      <w:pPr>
        <w:jc w:val="center"/>
        <w:rPr>
          <w:b/>
          <w:i/>
          <w:sz w:val="24"/>
          <w:szCs w:val="24"/>
        </w:rPr>
      </w:pPr>
      <w:r w:rsidRPr="00804AF0">
        <w:rPr>
          <w:b/>
          <w:i/>
          <w:sz w:val="24"/>
          <w:szCs w:val="24"/>
        </w:rPr>
        <w:t>Среднесписочная численность и заработная плата работников крупных предприятий лесопромышленного комплекса района за 2013 год.</w:t>
      </w: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16773A" w:rsidRPr="00804AF0" w:rsidTr="004575A0">
        <w:trPr>
          <w:trHeight w:val="79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73A" w:rsidRPr="00804AF0" w:rsidRDefault="0016773A" w:rsidP="004575A0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73A" w:rsidRPr="00804AF0" w:rsidRDefault="0016773A" w:rsidP="004575A0">
            <w:pPr>
              <w:ind w:left="-108" w:right="-108" w:firstLine="108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Средняя численность на 01.01.2014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73A" w:rsidRPr="00804AF0" w:rsidRDefault="0016773A" w:rsidP="004575A0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 xml:space="preserve">Средняя заработная плата за 2013 </w:t>
            </w:r>
            <w:proofErr w:type="gramStart"/>
            <w:r w:rsidRPr="00804AF0">
              <w:rPr>
                <w:b/>
                <w:bCs/>
              </w:rPr>
              <w:t>г(</w:t>
            </w:r>
            <w:proofErr w:type="gramEnd"/>
            <w:r w:rsidRPr="00804AF0">
              <w:rPr>
                <w:b/>
                <w:bCs/>
              </w:rPr>
              <w:t>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73A" w:rsidRPr="00804AF0" w:rsidRDefault="0016773A" w:rsidP="004575A0">
            <w:pPr>
              <w:ind w:right="-1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ФОТ (</w:t>
            </w:r>
            <w:proofErr w:type="spellStart"/>
            <w:r w:rsidRPr="00804AF0">
              <w:rPr>
                <w:b/>
                <w:bCs/>
              </w:rPr>
              <w:t>тыс</w:t>
            </w:r>
            <w:proofErr w:type="gramStart"/>
            <w:r w:rsidRPr="00804AF0">
              <w:rPr>
                <w:b/>
                <w:bCs/>
              </w:rPr>
              <w:t>.р</w:t>
            </w:r>
            <w:proofErr w:type="gramEnd"/>
            <w:r w:rsidRPr="00804AF0">
              <w:rPr>
                <w:b/>
                <w:bCs/>
              </w:rPr>
              <w:t>ублей</w:t>
            </w:r>
            <w:proofErr w:type="spellEnd"/>
            <w:r w:rsidRPr="00804AF0">
              <w:rPr>
                <w:b/>
                <w:bCs/>
              </w:rPr>
              <w:t>)</w:t>
            </w:r>
          </w:p>
        </w:tc>
      </w:tr>
      <w:tr w:rsidR="0016773A" w:rsidRPr="00804AF0" w:rsidTr="004575A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73A" w:rsidRPr="00804AF0" w:rsidRDefault="0016773A" w:rsidP="004575A0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Итого</w:t>
            </w:r>
          </w:p>
          <w:p w:rsidR="0016773A" w:rsidRPr="00804AF0" w:rsidRDefault="0016773A" w:rsidP="004575A0">
            <w:pPr>
              <w:jc w:val="center"/>
              <w:rPr>
                <w:bCs/>
              </w:rPr>
            </w:pPr>
            <w:r w:rsidRPr="00804AF0">
              <w:rPr>
                <w:bCs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73A" w:rsidRPr="00804AF0" w:rsidRDefault="0016773A" w:rsidP="004575A0">
            <w:pPr>
              <w:ind w:left="-108" w:right="-108" w:firstLine="108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634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73A" w:rsidRPr="00804AF0" w:rsidRDefault="0016773A" w:rsidP="004575A0">
            <w:pPr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22429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73A" w:rsidRPr="00804AF0" w:rsidRDefault="0016773A" w:rsidP="004575A0">
            <w:pPr>
              <w:ind w:left="-108" w:right="-1"/>
              <w:jc w:val="center"/>
              <w:rPr>
                <w:b/>
                <w:bCs/>
              </w:rPr>
            </w:pPr>
            <w:r w:rsidRPr="00804AF0">
              <w:rPr>
                <w:b/>
                <w:bCs/>
              </w:rPr>
              <w:t>127981,0</w:t>
            </w:r>
          </w:p>
        </w:tc>
      </w:tr>
      <w:tr w:rsidR="0016773A" w:rsidRPr="00804AF0" w:rsidTr="004575A0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3A" w:rsidRPr="00804AF0" w:rsidRDefault="0016773A" w:rsidP="004575A0">
            <w:r w:rsidRPr="00804AF0">
              <w:t>ООО «</w:t>
            </w:r>
            <w:proofErr w:type="spellStart"/>
            <w:r w:rsidRPr="00804AF0">
              <w:t>Чулымлес</w:t>
            </w:r>
            <w:proofErr w:type="spellEnd"/>
            <w:r w:rsidRPr="00804AF0"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3A" w:rsidRPr="00804AF0" w:rsidRDefault="0016773A" w:rsidP="004575A0">
            <w:pPr>
              <w:jc w:val="center"/>
            </w:pPr>
            <w:r w:rsidRPr="00804AF0">
              <w:t>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3A" w:rsidRPr="00804AF0" w:rsidRDefault="0016773A" w:rsidP="004575A0">
            <w:pPr>
              <w:jc w:val="center"/>
            </w:pPr>
            <w:r w:rsidRPr="00804AF0">
              <w:t>22494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73A" w:rsidRPr="00804AF0" w:rsidRDefault="0016773A" w:rsidP="004575A0">
            <w:pPr>
              <w:jc w:val="center"/>
            </w:pPr>
            <w:r w:rsidRPr="00804AF0">
              <w:t>98232,1</w:t>
            </w:r>
          </w:p>
        </w:tc>
      </w:tr>
      <w:tr w:rsidR="0016773A" w:rsidRPr="00804AF0" w:rsidTr="004575A0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3A" w:rsidRPr="00804AF0" w:rsidRDefault="0016773A" w:rsidP="004575A0">
            <w:r w:rsidRPr="00804AF0">
              <w:t>ООО «</w:t>
            </w:r>
            <w:proofErr w:type="spellStart"/>
            <w:r w:rsidRPr="00804AF0">
              <w:t>Чичкаюльский</w:t>
            </w:r>
            <w:proofErr w:type="spellEnd"/>
            <w:r w:rsidRPr="00804AF0">
              <w:t xml:space="preserve"> ЛПХ»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3A" w:rsidRPr="00804AF0" w:rsidRDefault="0016773A" w:rsidP="004575A0">
            <w:pPr>
              <w:jc w:val="center"/>
            </w:pPr>
            <w:r w:rsidRPr="00804AF0">
              <w:t>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73A" w:rsidRPr="00804AF0" w:rsidRDefault="0016773A" w:rsidP="004575A0">
            <w:pPr>
              <w:jc w:val="center"/>
            </w:pPr>
            <w:r w:rsidRPr="00804AF0">
              <w:t>21959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73A" w:rsidRPr="00804AF0" w:rsidRDefault="0016773A" w:rsidP="004575A0">
            <w:pPr>
              <w:jc w:val="center"/>
            </w:pPr>
            <w:r w:rsidRPr="00804AF0">
              <w:t>71104,5</w:t>
            </w:r>
          </w:p>
        </w:tc>
      </w:tr>
    </w:tbl>
    <w:p w:rsidR="0016773A" w:rsidRPr="00335684" w:rsidRDefault="0016773A" w:rsidP="0016773A">
      <w:pPr>
        <w:ind w:firstLine="709"/>
        <w:jc w:val="both"/>
        <w:rPr>
          <w:sz w:val="24"/>
          <w:szCs w:val="24"/>
        </w:rPr>
      </w:pPr>
      <w:r w:rsidRPr="00335684">
        <w:rPr>
          <w:sz w:val="24"/>
          <w:szCs w:val="24"/>
        </w:rPr>
        <w:t xml:space="preserve">Зарегистрировано 2крупных предприятия, 48 предприятия малого бизнеса. Численность работающих: на крупных предприятиях – 634 человека; на малых около </w:t>
      </w:r>
      <w:r>
        <w:rPr>
          <w:sz w:val="24"/>
          <w:szCs w:val="24"/>
        </w:rPr>
        <w:t>567</w:t>
      </w:r>
      <w:r w:rsidRPr="00335684">
        <w:rPr>
          <w:sz w:val="24"/>
          <w:szCs w:val="24"/>
        </w:rPr>
        <w:t xml:space="preserve"> человек. Средняя заработная плата: на крупных </w:t>
      </w:r>
      <w:proofErr w:type="gramStart"/>
      <w:r w:rsidRPr="00335684">
        <w:rPr>
          <w:sz w:val="24"/>
          <w:szCs w:val="24"/>
        </w:rPr>
        <w:t>п</w:t>
      </w:r>
      <w:proofErr w:type="gramEnd"/>
      <w:r w:rsidRPr="00335684">
        <w:rPr>
          <w:sz w:val="24"/>
          <w:szCs w:val="24"/>
        </w:rPr>
        <w:t xml:space="preserve">/п – 22429 руб.; на малых – 8000 руб. </w:t>
      </w:r>
      <w:r w:rsidRPr="00335684">
        <w:rPr>
          <w:sz w:val="24"/>
          <w:szCs w:val="24"/>
        </w:rPr>
        <w:lastRenderedPageBreak/>
        <w:t>Объем произведенной продукции: крупными п/п 1125,462тыс.руб. – за 12 месяцев 2013 года, темп роста 95,8% . Малыми п/п –654660тыс. руб. – за 12 месяцев 2013года.</w:t>
      </w:r>
    </w:p>
    <w:p w:rsidR="0016773A" w:rsidRPr="00C065AE" w:rsidRDefault="0016773A" w:rsidP="0016773A">
      <w:pPr>
        <w:jc w:val="both"/>
        <w:rPr>
          <w:b/>
          <w:color w:val="FF0000"/>
          <w:sz w:val="24"/>
          <w:szCs w:val="24"/>
        </w:rPr>
      </w:pPr>
    </w:p>
    <w:p w:rsidR="0016773A" w:rsidRPr="0057168E" w:rsidRDefault="0016773A" w:rsidP="0016773A">
      <w:pPr>
        <w:jc w:val="center"/>
        <w:rPr>
          <w:b/>
          <w:i/>
          <w:sz w:val="24"/>
          <w:szCs w:val="24"/>
        </w:rPr>
      </w:pPr>
      <w:r w:rsidRPr="0057168E">
        <w:rPr>
          <w:b/>
          <w:i/>
          <w:sz w:val="24"/>
          <w:szCs w:val="24"/>
        </w:rPr>
        <w:t>Перечислено НДФЛ предприятиями лесопромышленного комплекса</w:t>
      </w:r>
    </w:p>
    <w:p w:rsidR="0016773A" w:rsidRPr="0057168E" w:rsidRDefault="0016773A" w:rsidP="0016773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6773A" w:rsidRPr="0057168E" w:rsidTr="004575A0"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Крупные </w:t>
            </w:r>
            <w:proofErr w:type="gramStart"/>
            <w:r w:rsidRPr="0057168E">
              <w:rPr>
                <w:sz w:val="22"/>
                <w:szCs w:val="22"/>
              </w:rPr>
              <w:t>п</w:t>
            </w:r>
            <w:proofErr w:type="gramEnd"/>
            <w:r w:rsidRPr="0057168E">
              <w:rPr>
                <w:sz w:val="22"/>
                <w:szCs w:val="22"/>
              </w:rPr>
              <w:t xml:space="preserve">/п, </w:t>
            </w:r>
            <w:proofErr w:type="spellStart"/>
            <w:r w:rsidRPr="0057168E">
              <w:rPr>
                <w:sz w:val="22"/>
                <w:szCs w:val="22"/>
              </w:rPr>
              <w:t>тыс.руб</w:t>
            </w:r>
            <w:proofErr w:type="spellEnd"/>
            <w:r w:rsidRPr="0057168E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Малый бизнес, </w:t>
            </w:r>
            <w:proofErr w:type="spellStart"/>
            <w:r w:rsidRPr="0057168E">
              <w:rPr>
                <w:sz w:val="22"/>
                <w:szCs w:val="22"/>
              </w:rPr>
              <w:t>тыс</w:t>
            </w:r>
            <w:proofErr w:type="gramStart"/>
            <w:r w:rsidRPr="0057168E">
              <w:rPr>
                <w:sz w:val="22"/>
                <w:szCs w:val="22"/>
              </w:rPr>
              <w:t>.р</w:t>
            </w:r>
            <w:proofErr w:type="gramEnd"/>
            <w:r w:rsidRPr="0057168E">
              <w:rPr>
                <w:sz w:val="22"/>
                <w:szCs w:val="22"/>
              </w:rPr>
              <w:t>уб</w:t>
            </w:r>
            <w:proofErr w:type="spellEnd"/>
            <w:r w:rsidRPr="0057168E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Всего, </w:t>
            </w:r>
            <w:proofErr w:type="spellStart"/>
            <w:r w:rsidRPr="0057168E">
              <w:rPr>
                <w:sz w:val="22"/>
                <w:szCs w:val="22"/>
              </w:rPr>
              <w:t>тыс</w:t>
            </w:r>
            <w:proofErr w:type="gramStart"/>
            <w:r w:rsidRPr="0057168E">
              <w:rPr>
                <w:sz w:val="22"/>
                <w:szCs w:val="22"/>
              </w:rPr>
              <w:t>.р</w:t>
            </w:r>
            <w:proofErr w:type="gramEnd"/>
            <w:r w:rsidRPr="0057168E">
              <w:rPr>
                <w:sz w:val="22"/>
                <w:szCs w:val="22"/>
              </w:rPr>
              <w:t>уб</w:t>
            </w:r>
            <w:proofErr w:type="spellEnd"/>
            <w:r w:rsidRPr="0057168E"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16773A" w:rsidRPr="0057168E" w:rsidTr="004575A0"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 2012 год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24043,45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5973,95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57168E">
              <w:rPr>
                <w:rFonts w:ascii="Arial" w:eastAsia="MS Mincho" w:hAnsi="Arial" w:cs="Arial"/>
                <w:lang w:eastAsia="ja-JP"/>
              </w:rPr>
              <w:t>30017,409</w:t>
            </w:r>
          </w:p>
        </w:tc>
        <w:tc>
          <w:tcPr>
            <w:tcW w:w="1915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26,9</w:t>
            </w:r>
          </w:p>
        </w:tc>
      </w:tr>
      <w:tr w:rsidR="0016773A" w:rsidRPr="0057168E" w:rsidTr="004575A0"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 xml:space="preserve"> 2013 год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26212,95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1587,068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27800,018</w:t>
            </w:r>
          </w:p>
        </w:tc>
        <w:tc>
          <w:tcPr>
            <w:tcW w:w="1915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25,0</w:t>
            </w:r>
          </w:p>
        </w:tc>
      </w:tr>
      <w:tr w:rsidR="0016773A" w:rsidRPr="0057168E" w:rsidTr="004575A0"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109,02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26,56</w:t>
            </w:r>
          </w:p>
        </w:tc>
        <w:tc>
          <w:tcPr>
            <w:tcW w:w="1914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  <w:r w:rsidRPr="0057168E">
              <w:rPr>
                <w:sz w:val="22"/>
                <w:szCs w:val="22"/>
              </w:rPr>
              <w:t>92,61</w:t>
            </w:r>
          </w:p>
        </w:tc>
        <w:tc>
          <w:tcPr>
            <w:tcW w:w="1915" w:type="dxa"/>
          </w:tcPr>
          <w:p w:rsidR="0016773A" w:rsidRPr="0057168E" w:rsidRDefault="0016773A" w:rsidP="004575A0">
            <w:pPr>
              <w:jc w:val="both"/>
              <w:rPr>
                <w:sz w:val="22"/>
                <w:szCs w:val="22"/>
              </w:rPr>
            </w:pPr>
          </w:p>
        </w:tc>
      </w:tr>
    </w:tbl>
    <w:p w:rsidR="00B03ACB" w:rsidRDefault="00B03ACB">
      <w:bookmarkStart w:id="0" w:name="_GoBack"/>
      <w:bookmarkEnd w:id="0"/>
    </w:p>
    <w:sectPr w:rsidR="00B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A"/>
    <w:rsid w:val="00022FBC"/>
    <w:rsid w:val="00031468"/>
    <w:rsid w:val="000372FE"/>
    <w:rsid w:val="00073C0F"/>
    <w:rsid w:val="000871AB"/>
    <w:rsid w:val="00094277"/>
    <w:rsid w:val="00094BC2"/>
    <w:rsid w:val="000A0D7E"/>
    <w:rsid w:val="000A50E1"/>
    <w:rsid w:val="000B588A"/>
    <w:rsid w:val="000C047F"/>
    <w:rsid w:val="000C12CE"/>
    <w:rsid w:val="000C68C2"/>
    <w:rsid w:val="000D5B95"/>
    <w:rsid w:val="000F3748"/>
    <w:rsid w:val="000F44CA"/>
    <w:rsid w:val="0010299A"/>
    <w:rsid w:val="00107360"/>
    <w:rsid w:val="0013338B"/>
    <w:rsid w:val="00150D82"/>
    <w:rsid w:val="00154E3F"/>
    <w:rsid w:val="0015552D"/>
    <w:rsid w:val="001604B7"/>
    <w:rsid w:val="00161DC1"/>
    <w:rsid w:val="0016773A"/>
    <w:rsid w:val="001734B3"/>
    <w:rsid w:val="00177789"/>
    <w:rsid w:val="001809A6"/>
    <w:rsid w:val="00184A87"/>
    <w:rsid w:val="0019119A"/>
    <w:rsid w:val="001A140B"/>
    <w:rsid w:val="001C3831"/>
    <w:rsid w:val="001D32F6"/>
    <w:rsid w:val="001D675D"/>
    <w:rsid w:val="001E0FFA"/>
    <w:rsid w:val="001F275D"/>
    <w:rsid w:val="00237102"/>
    <w:rsid w:val="002431C9"/>
    <w:rsid w:val="002569B2"/>
    <w:rsid w:val="002724A2"/>
    <w:rsid w:val="00277291"/>
    <w:rsid w:val="00283CA8"/>
    <w:rsid w:val="002873D0"/>
    <w:rsid w:val="002942FB"/>
    <w:rsid w:val="00295257"/>
    <w:rsid w:val="002D575D"/>
    <w:rsid w:val="00311E4D"/>
    <w:rsid w:val="00334BAA"/>
    <w:rsid w:val="00351C5A"/>
    <w:rsid w:val="0036550E"/>
    <w:rsid w:val="00367D60"/>
    <w:rsid w:val="003873BA"/>
    <w:rsid w:val="003B3A78"/>
    <w:rsid w:val="003D15E9"/>
    <w:rsid w:val="003D360A"/>
    <w:rsid w:val="003F4E33"/>
    <w:rsid w:val="003F732A"/>
    <w:rsid w:val="00401C95"/>
    <w:rsid w:val="004040B3"/>
    <w:rsid w:val="00417F1A"/>
    <w:rsid w:val="00444069"/>
    <w:rsid w:val="00457DBB"/>
    <w:rsid w:val="00464F98"/>
    <w:rsid w:val="00475FAD"/>
    <w:rsid w:val="004B720A"/>
    <w:rsid w:val="004B7730"/>
    <w:rsid w:val="004C71B0"/>
    <w:rsid w:val="00515888"/>
    <w:rsid w:val="00540640"/>
    <w:rsid w:val="005419F9"/>
    <w:rsid w:val="005538F1"/>
    <w:rsid w:val="0056680E"/>
    <w:rsid w:val="005709F9"/>
    <w:rsid w:val="005A3ED5"/>
    <w:rsid w:val="005B5EEB"/>
    <w:rsid w:val="005D04A4"/>
    <w:rsid w:val="005D44D5"/>
    <w:rsid w:val="005E2168"/>
    <w:rsid w:val="005F44B3"/>
    <w:rsid w:val="005F535A"/>
    <w:rsid w:val="00601425"/>
    <w:rsid w:val="00601693"/>
    <w:rsid w:val="00621FB0"/>
    <w:rsid w:val="0063783A"/>
    <w:rsid w:val="0065048D"/>
    <w:rsid w:val="0065067D"/>
    <w:rsid w:val="0068098F"/>
    <w:rsid w:val="00690041"/>
    <w:rsid w:val="00693D02"/>
    <w:rsid w:val="006949D0"/>
    <w:rsid w:val="006B50CF"/>
    <w:rsid w:val="006C3061"/>
    <w:rsid w:val="006D03F4"/>
    <w:rsid w:val="007001CB"/>
    <w:rsid w:val="0070182E"/>
    <w:rsid w:val="0071097A"/>
    <w:rsid w:val="0072260C"/>
    <w:rsid w:val="00741830"/>
    <w:rsid w:val="007478DB"/>
    <w:rsid w:val="0076215D"/>
    <w:rsid w:val="00776CF1"/>
    <w:rsid w:val="00777F14"/>
    <w:rsid w:val="0078556B"/>
    <w:rsid w:val="00791B48"/>
    <w:rsid w:val="007971FD"/>
    <w:rsid w:val="007C5FE6"/>
    <w:rsid w:val="007E33EE"/>
    <w:rsid w:val="007E7E3B"/>
    <w:rsid w:val="0080326E"/>
    <w:rsid w:val="00806FD7"/>
    <w:rsid w:val="0081035A"/>
    <w:rsid w:val="00811456"/>
    <w:rsid w:val="00816CEE"/>
    <w:rsid w:val="0082417C"/>
    <w:rsid w:val="00827A20"/>
    <w:rsid w:val="00894DA1"/>
    <w:rsid w:val="00894FE7"/>
    <w:rsid w:val="008C5651"/>
    <w:rsid w:val="008C6E94"/>
    <w:rsid w:val="008D06D5"/>
    <w:rsid w:val="008D5C18"/>
    <w:rsid w:val="009132A8"/>
    <w:rsid w:val="00913617"/>
    <w:rsid w:val="00930485"/>
    <w:rsid w:val="009356F6"/>
    <w:rsid w:val="00957380"/>
    <w:rsid w:val="00962A4D"/>
    <w:rsid w:val="009761B5"/>
    <w:rsid w:val="00976FC8"/>
    <w:rsid w:val="0099161A"/>
    <w:rsid w:val="00996BDB"/>
    <w:rsid w:val="009A7289"/>
    <w:rsid w:val="009B0548"/>
    <w:rsid w:val="009B2BF9"/>
    <w:rsid w:val="009C4BA6"/>
    <w:rsid w:val="009D77D9"/>
    <w:rsid w:val="009E307F"/>
    <w:rsid w:val="009F2E42"/>
    <w:rsid w:val="00A14DB5"/>
    <w:rsid w:val="00A4311D"/>
    <w:rsid w:val="00A45E27"/>
    <w:rsid w:val="00A55DAC"/>
    <w:rsid w:val="00A62273"/>
    <w:rsid w:val="00A64E48"/>
    <w:rsid w:val="00A715BE"/>
    <w:rsid w:val="00A77270"/>
    <w:rsid w:val="00A8791D"/>
    <w:rsid w:val="00A96DF1"/>
    <w:rsid w:val="00AA11C6"/>
    <w:rsid w:val="00AA4D3F"/>
    <w:rsid w:val="00AB0446"/>
    <w:rsid w:val="00AB104F"/>
    <w:rsid w:val="00AC087F"/>
    <w:rsid w:val="00AD1AD1"/>
    <w:rsid w:val="00AE060A"/>
    <w:rsid w:val="00AE6896"/>
    <w:rsid w:val="00AF5EFA"/>
    <w:rsid w:val="00B03ACB"/>
    <w:rsid w:val="00B113B8"/>
    <w:rsid w:val="00B14796"/>
    <w:rsid w:val="00B219C3"/>
    <w:rsid w:val="00B44269"/>
    <w:rsid w:val="00B56D60"/>
    <w:rsid w:val="00B879E4"/>
    <w:rsid w:val="00B93619"/>
    <w:rsid w:val="00B9485E"/>
    <w:rsid w:val="00B95863"/>
    <w:rsid w:val="00BB4354"/>
    <w:rsid w:val="00BC02C5"/>
    <w:rsid w:val="00BC754F"/>
    <w:rsid w:val="00BD15EC"/>
    <w:rsid w:val="00BD288E"/>
    <w:rsid w:val="00BE5AFF"/>
    <w:rsid w:val="00BF67A8"/>
    <w:rsid w:val="00C0056B"/>
    <w:rsid w:val="00C07820"/>
    <w:rsid w:val="00C10EF4"/>
    <w:rsid w:val="00C1185F"/>
    <w:rsid w:val="00C14F51"/>
    <w:rsid w:val="00C41277"/>
    <w:rsid w:val="00C73A14"/>
    <w:rsid w:val="00C77471"/>
    <w:rsid w:val="00C8450A"/>
    <w:rsid w:val="00CA0F3E"/>
    <w:rsid w:val="00CA6EED"/>
    <w:rsid w:val="00CB2D4B"/>
    <w:rsid w:val="00CC0A24"/>
    <w:rsid w:val="00CC389D"/>
    <w:rsid w:val="00CE43E1"/>
    <w:rsid w:val="00D146F4"/>
    <w:rsid w:val="00D271BB"/>
    <w:rsid w:val="00D4164C"/>
    <w:rsid w:val="00D9786F"/>
    <w:rsid w:val="00DB1EE9"/>
    <w:rsid w:val="00DD1C52"/>
    <w:rsid w:val="00E4705A"/>
    <w:rsid w:val="00E557A6"/>
    <w:rsid w:val="00E5705D"/>
    <w:rsid w:val="00E66983"/>
    <w:rsid w:val="00E66EDB"/>
    <w:rsid w:val="00E80030"/>
    <w:rsid w:val="00E921C8"/>
    <w:rsid w:val="00E9528F"/>
    <w:rsid w:val="00EB5C96"/>
    <w:rsid w:val="00EE0EEF"/>
    <w:rsid w:val="00EE245C"/>
    <w:rsid w:val="00EF10C4"/>
    <w:rsid w:val="00F02DEE"/>
    <w:rsid w:val="00F06CB5"/>
    <w:rsid w:val="00F14052"/>
    <w:rsid w:val="00F14B29"/>
    <w:rsid w:val="00F15415"/>
    <w:rsid w:val="00F42C3C"/>
    <w:rsid w:val="00F43E13"/>
    <w:rsid w:val="00F546C3"/>
    <w:rsid w:val="00F739DE"/>
    <w:rsid w:val="00FA36A1"/>
    <w:rsid w:val="00FA375B"/>
    <w:rsid w:val="00FB6852"/>
    <w:rsid w:val="00FB7C52"/>
    <w:rsid w:val="00FD0088"/>
    <w:rsid w:val="00FD2C4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73A"/>
    <w:rPr>
      <w:sz w:val="24"/>
    </w:rPr>
  </w:style>
  <w:style w:type="character" w:customStyle="1" w:styleId="a4">
    <w:name w:val="Основной текст Знак"/>
    <w:basedOn w:val="a0"/>
    <w:link w:val="a3"/>
    <w:rsid w:val="001677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73A"/>
    <w:rPr>
      <w:sz w:val="24"/>
    </w:rPr>
  </w:style>
  <w:style w:type="character" w:customStyle="1" w:styleId="a4">
    <w:name w:val="Основной текст Знак"/>
    <w:basedOn w:val="a0"/>
    <w:link w:val="a3"/>
    <w:rsid w:val="001677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2014-07-29T03:28:00Z</dcterms:created>
  <dcterms:modified xsi:type="dcterms:W3CDTF">2014-07-29T03:29:00Z</dcterms:modified>
</cp:coreProperties>
</file>